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3D3058">
        <w:rPr>
          <w:rFonts w:ascii="Times New Roman" w:hAnsi="Times New Roman"/>
          <w:sz w:val="24"/>
          <w:szCs w:val="24"/>
        </w:rPr>
        <w:t>1</w:t>
      </w:r>
      <w:r w:rsidR="00A824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952A0C" w:rsidRPr="00952A0C">
        <w:t xml:space="preserve">запасные части </w:t>
      </w:r>
      <w:r w:rsidR="00A824B5">
        <w:t>турбин, турбогенераторов, турбинно-вспомогательного оборудования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  <w:bookmarkStart w:id="0" w:name="_GoBack"/>
      <w:bookmarkEnd w:id="0"/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952A0C">
        <w:t xml:space="preserve">запасных частей </w:t>
      </w:r>
      <w:r w:rsidR="00A824B5">
        <w:t>турбин, турбогенераторов, турбинно-вспомогательного оборудования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9F5AA-7ACB-44E5-A5A4-091CE78EA0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898BD6-7179-403E-89BD-FEF9A72E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8</cp:revision>
  <cp:lastPrinted>2016-07-04T07:40:00Z</cp:lastPrinted>
  <dcterms:created xsi:type="dcterms:W3CDTF">2016-07-26T06:50:00Z</dcterms:created>
  <dcterms:modified xsi:type="dcterms:W3CDTF">2016-07-26T07:33:00Z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