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E05824"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67E1E3C7" wp14:editId="5FEC2527">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3A7517">
              <w:rPr>
                <w:sz w:val="40"/>
                <w:szCs w:val="40"/>
              </w:rPr>
              <w:t>АО «Барнаульская генерация»</w:t>
            </w:r>
          </w:p>
          <w:p w:rsidR="00FF44B4" w:rsidRPr="008B6239" w:rsidRDefault="00FF44B4" w:rsidP="003A7517">
            <w:pPr>
              <w:spacing w:after="360" w:line="240" w:lineRule="auto"/>
              <w:ind w:firstLine="0"/>
              <w:jc w:val="center"/>
              <w:rPr>
                <w:szCs w:val="24"/>
              </w:rPr>
            </w:pPr>
            <w:r w:rsidRPr="004D53C5">
              <w:rPr>
                <w:b/>
                <w:sz w:val="40"/>
                <w:szCs w:val="40"/>
              </w:rPr>
              <w:t>Пл-</w:t>
            </w:r>
            <w:r w:rsidR="003A7517">
              <w:rPr>
                <w:b/>
                <w:sz w:val="40"/>
                <w:szCs w:val="40"/>
              </w:rPr>
              <w:t>БГ</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9C0D14">
        <w:rPr>
          <w:szCs w:val="24"/>
        </w:rPr>
        <w:t xml:space="preserve"> 26.02.2018 № 01/18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6E4BB7">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3A7517">
        <w:t>АО «Барнаульская генерация»</w:t>
      </w:r>
      <w:r>
        <w:t xml:space="preserve">, утвержденного Советом директоров. </w:t>
      </w:r>
      <w:r w:rsidRPr="00BA6107">
        <w:t xml:space="preserve">Протокол от </w:t>
      </w:r>
      <w:r w:rsidR="0040047C">
        <w:t>2</w:t>
      </w:r>
      <w:r w:rsidRPr="00BA6107">
        <w:rPr>
          <w:szCs w:val="24"/>
        </w:rPr>
        <w:t>6.</w:t>
      </w:r>
      <w:r w:rsidR="0040047C">
        <w:rPr>
          <w:szCs w:val="24"/>
        </w:rPr>
        <w:t>12</w:t>
      </w:r>
      <w:r w:rsidRPr="00BA6107">
        <w:rPr>
          <w:szCs w:val="24"/>
        </w:rPr>
        <w:t xml:space="preserve">.2016 г.  № </w:t>
      </w:r>
      <w:r w:rsidR="0040047C">
        <w:rPr>
          <w:szCs w:val="24"/>
        </w:rPr>
        <w:t>2</w:t>
      </w:r>
      <w:r w:rsidR="003A7517">
        <w:rPr>
          <w:szCs w:val="24"/>
        </w:rPr>
        <w:t>5</w:t>
      </w:r>
      <w:r w:rsidRPr="00BA6107">
        <w:rPr>
          <w:szCs w:val="24"/>
        </w:rPr>
        <w:t>/16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77BA1">
          <w:rPr>
            <w:webHidden/>
          </w:rPr>
          <w:t>3</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77BA1">
          <w:rPr>
            <w:webHidden/>
          </w:rPr>
          <w:t>6</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77BA1">
          <w:rPr>
            <w:webHidden/>
          </w:rPr>
          <w:t>9</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77BA1">
          <w:rPr>
            <w:webHidden/>
          </w:rPr>
          <w:t>10</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77BA1">
          <w:rPr>
            <w:webHidden/>
          </w:rPr>
          <w:t>13</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77BA1">
          <w:rPr>
            <w:webHidden/>
          </w:rPr>
          <w:t>14</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77BA1">
          <w:rPr>
            <w:webHidden/>
          </w:rPr>
          <w:t>25</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77BA1">
          <w:rPr>
            <w:webHidden/>
          </w:rPr>
          <w:t>26</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77BA1">
          <w:rPr>
            <w:webHidden/>
          </w:rPr>
          <w:t>29</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77BA1">
          <w:rPr>
            <w:webHidden/>
          </w:rPr>
          <w:t>32</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77BA1">
          <w:rPr>
            <w:webHidden/>
          </w:rPr>
          <w:t>33</w:t>
        </w:r>
        <w:r w:rsidR="00F77BA1">
          <w:rPr>
            <w:webHidden/>
          </w:rPr>
          <w:fldChar w:fldCharType="end"/>
        </w:r>
      </w:hyperlink>
    </w:p>
    <w:p w:rsidR="00F77BA1" w:rsidRDefault="009C0D14">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77BA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3A7517">
        <w:rPr>
          <w:szCs w:val="24"/>
        </w:rPr>
        <w:t>АО «Барнаульская генерация»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3A7517">
        <w:rPr>
          <w:szCs w:val="24"/>
        </w:rPr>
        <w:t>АО «Барнаульская генерация»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2098"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0D1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0D1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0D1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0D1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5B41FA">
            <w:rPr>
              <w:rFonts w:ascii="Times New Roman" w:eastAsia="Times New Roman" w:hAnsi="Times New Roman"/>
              <w:color w:val="000000"/>
            </w:rPr>
            <w:t>БГ</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3A7517">
            <w:rPr>
              <w:rFonts w:ascii="Times New Roman" w:hAnsi="Times New Roman"/>
            </w:rPr>
            <w:t>АО «Барнаульская генерация»</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9C0D14">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43488">
            <w:rPr>
              <w:rFonts w:ascii="Times New Roman" w:eastAsia="Times New Roman" w:hAnsi="Times New Roman"/>
              <w:color w:val="000000"/>
            </w:rPr>
            <w:t>7</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5B41FA">
            <w:rPr>
              <w:rFonts w:ascii="Times New Roman" w:eastAsia="Times New Roman" w:hAnsi="Times New Roman"/>
              <w:color w:val="000000"/>
            </w:rPr>
            <w:t>БГ</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3A7517">
            <w:rPr>
              <w:rFonts w:ascii="Times New Roman" w:hAnsi="Times New Roman"/>
            </w:rPr>
            <w:t>АО «Барнаульская генерация»</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9C0D14">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A910B2">
            <w:rPr>
              <w:rFonts w:ascii="Times New Roman" w:hAnsi="Times New Roman"/>
            </w:rPr>
            <w:t>7</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1FDD"/>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1FA"/>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0D14"/>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5824"/>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0E0A-083F-48CC-91E6-E2413C31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49</Pages>
  <Words>16191</Words>
  <Characters>92289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108264</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428</cp:revision>
  <cp:lastPrinted>2016-12-06T11:17:00Z</cp:lastPrinted>
  <dcterms:created xsi:type="dcterms:W3CDTF">2016-08-23T04:59:00Z</dcterms:created>
  <dcterms:modified xsi:type="dcterms:W3CDTF">2018-02-28T04:22:00Z</dcterms:modified>
</cp:coreProperties>
</file>